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E4E6D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2"/>
        <w:rPr>
          <w:rFonts w:hint="eastAsia" w:ascii="宋体" w:hAnsi="Times New Roman" w:eastAsia="宋体" w:cs="Times New Roman"/>
          <w:b/>
          <w:spacing w:val="0"/>
          <w:position w:val="0"/>
          <w:sz w:val="30"/>
          <w:szCs w:val="30"/>
          <w:lang w:val="en-US" w:eastAsia="zh-CN"/>
        </w:rPr>
      </w:pPr>
      <w:r>
        <w:rPr>
          <w:rFonts w:hint="eastAsia" w:ascii="宋体" w:cs="Times New Roman"/>
          <w:b/>
          <w:spacing w:val="0"/>
          <w:position w:val="0"/>
          <w:sz w:val="30"/>
          <w:szCs w:val="30"/>
          <w:lang w:val="en-US" w:eastAsia="zh-CN"/>
        </w:rPr>
        <w:t>滁州学院会峰门改造及道路设施采购项目</w:t>
      </w:r>
      <w:r>
        <w:rPr>
          <w:rFonts w:hint="eastAsia" w:ascii="宋体" w:hAnsi="Times New Roman" w:eastAsia="宋体" w:cs="Times New Roman"/>
          <w:b/>
          <w:spacing w:val="0"/>
          <w:position w:val="0"/>
          <w:sz w:val="30"/>
          <w:szCs w:val="30"/>
          <w:lang w:val="en-US" w:eastAsia="zh-CN"/>
        </w:rPr>
        <w:t>设备技术参数</w:t>
      </w:r>
      <w:bookmarkStart w:id="1" w:name="_GoBack"/>
      <w:bookmarkEnd w:id="1"/>
    </w:p>
    <w:tbl>
      <w:tblPr>
        <w:tblStyle w:val="5"/>
        <w:tblW w:w="10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142"/>
        <w:gridCol w:w="6948"/>
        <w:gridCol w:w="761"/>
        <w:gridCol w:w="688"/>
      </w:tblGrid>
      <w:tr w14:paraId="3EF09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16754">
            <w:pPr>
              <w:spacing w:line="360" w:lineRule="auto"/>
              <w:rPr>
                <w:rFonts w:hint="eastAsia" w:ascii="宋体" w:hAnsi="宋体" w:eastAsia="宋体" w:cs="宋体"/>
                <w:b/>
                <w:spacing w:val="0"/>
                <w:position w:val="0"/>
                <w:sz w:val="21"/>
                <w:szCs w:val="21"/>
              </w:rPr>
            </w:pPr>
            <w:bookmarkStart w:id="0" w:name="_Hlk66774570"/>
            <w:r>
              <w:rPr>
                <w:rFonts w:hint="eastAsia" w:ascii="宋体" w:hAnsi="宋体" w:eastAsia="宋体" w:cs="宋体"/>
                <w:b/>
                <w:spacing w:val="0"/>
                <w:position w:val="0"/>
                <w:sz w:val="21"/>
                <w:szCs w:val="21"/>
                <w:lang w:bidi="ar"/>
              </w:rPr>
              <w:t>序号</w:t>
            </w:r>
            <w:bookmarkEnd w:id="0"/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19C5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position w:val="0"/>
                <w:sz w:val="21"/>
                <w:szCs w:val="21"/>
                <w:lang w:bidi="ar"/>
              </w:rPr>
              <w:t>设备名称</w:t>
            </w:r>
          </w:p>
        </w:tc>
        <w:tc>
          <w:tcPr>
            <w:tcW w:w="6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E277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position w:val="0"/>
                <w:sz w:val="21"/>
                <w:szCs w:val="21"/>
                <w:lang w:bidi="ar"/>
              </w:rPr>
              <w:t>技术要求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3BC6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positio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E92C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position w:val="0"/>
                <w:sz w:val="21"/>
                <w:szCs w:val="21"/>
                <w:lang w:bidi="ar"/>
              </w:rPr>
              <w:t>单位</w:t>
            </w:r>
          </w:p>
        </w:tc>
      </w:tr>
      <w:tr w14:paraId="755E2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31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0D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伸缩门拆装</w:t>
            </w:r>
          </w:p>
        </w:tc>
        <w:tc>
          <w:tcPr>
            <w:tcW w:w="6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0C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  <w:t>主要对现有会峰门旧的伸缩门拆装，待新路面混泥土施工结束后，重新安装至原来位置，恢复其原有的功能，包含路面导向磁块重新安装布设。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BC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2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13E0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E8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EC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position w:val="0"/>
                <w:sz w:val="22"/>
                <w:szCs w:val="22"/>
              </w:rPr>
              <w:t>车辆地磁感应检测器</w:t>
            </w:r>
          </w:p>
        </w:tc>
        <w:tc>
          <w:tcPr>
            <w:tcW w:w="6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A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工作电压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具备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AC220V，50HZ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 w14:paraId="6C7AE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工作频率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具备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20K～170KHz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 w14:paraId="675CD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灵敏度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具备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分为高、中、低三档，根据实际情况调节，适用于大、中、小型汽车和摩托车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 w14:paraId="51ACA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反应时间≤10ms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 w14:paraId="75A90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线圈感应量：推荐值在100～300uH之间（包含连接线）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 w14:paraId="0CA7A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环境补偿：自动飘移补偿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 w14:paraId="35E21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输出方式：继电器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 w14:paraId="0196B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功耗：≤3w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 w14:paraId="226F4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线圈的连接线：≤15m，每米最少应扭绞20次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 w14:paraId="68B31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防护等级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不低于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IP30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 w14:paraId="190A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线圈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具备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BVR1.5线，可做成1m×2m矩形或平行四边形（边距0.8m），盘绕6-8匝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 w14:paraId="209C2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信号保持时间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应具备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不受限制，当线圈被永久“放上铁”时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 w14:paraId="21377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需将设备安装到校方指定地点，并同现有车辆管理系统无缝对接，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  <w:highlight w:val="none"/>
              </w:rPr>
              <w:t>产生的费用均包含在投标费用中，由投标人承担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F4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positio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DA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6F91C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A0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A0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车辆雷达防砸检测器</w:t>
            </w:r>
          </w:p>
        </w:tc>
        <w:tc>
          <w:tcPr>
            <w:tcW w:w="6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87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工作频率(GHz):77-81GHz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发射功率(dbm)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不小于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12.5 dbm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天线增益(dbi)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不低于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10dbi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垂直方向波束夹角(°)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为±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15°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水平方向波束夹角(°)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为±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45°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 w14:paraId="74542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检测距离(m)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6米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 w14:paraId="51670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响应时间(ms):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100ms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 w14:paraId="1DD2F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4、具备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通信接口:485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 w14:paraId="751DF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平均无故障时间(h):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18000h&gt;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 w14:paraId="47955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工作电压(V):9V~24VDC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工作功率(w):&lt;2W@12V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工作温度范围(°C):-40°C~+85°C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工作湿度范围(%)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98%相对气温25°C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防护等级(IPxx):IP 67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 w14:paraId="211F5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尺寸大小(mm):105*83*22(mm)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重量(g):200g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 w14:paraId="33D6B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行人检测率(%):&gt;95%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车辆检测率(%):&gt;99%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 w14:paraId="21EF0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调试方法:软件调试,按键调试，手机调试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固件升级方式: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485串☐升级，手机升级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；</w:t>
            </w:r>
          </w:p>
          <w:p w14:paraId="0D864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10、需将设备安装到校方指定地点，并同现有车辆管理系统无缝对接，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  <w:highlight w:val="none"/>
              </w:rPr>
              <w:t>产生的费用均包含在投标费用中，由投标人承担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4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98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3BFD4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1F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66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车牌辅助识别摄像机</w:t>
            </w:r>
          </w:p>
        </w:tc>
        <w:tc>
          <w:tcPr>
            <w:tcW w:w="6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B0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1、工作电压：AC220V±10%；</w:t>
            </w:r>
          </w:p>
          <w:p w14:paraId="41779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2、设备功率：≤25W；</w:t>
            </w:r>
          </w:p>
          <w:p w14:paraId="419AB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3、设备材质：机身主体为高强度碳钢板材，主色调为金色；</w:t>
            </w:r>
          </w:p>
          <w:p w14:paraId="31751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4、防护等级：IP54；</w:t>
            </w:r>
          </w:p>
          <w:p w14:paraId="76C3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5、通讯协议：TCP/IP；</w:t>
            </w:r>
          </w:p>
          <w:p w14:paraId="69553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6、车牌识别功能：可以识别民用车牌、军牌、武警牌、使馆牌、大陆港澳牌等，能识别车牌颜色并显示；</w:t>
            </w:r>
          </w:p>
          <w:p w14:paraId="1D1BA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7、车牌识别率: 全天候≥99.7%；</w:t>
            </w:r>
          </w:p>
          <w:p w14:paraId="633E3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8、车牌识别镜头：电动变焦镜头，上、下、左、右可调；</w:t>
            </w:r>
          </w:p>
          <w:p w14:paraId="74429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9、车牌识别摄像机像素：500万；（投标人需提供所投产品第三方检测机构出具的具备CMA或CNAS标识的检测报告复印件）；</w:t>
            </w:r>
          </w:p>
          <w:p w14:paraId="04FB2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10、补光灯：内置高亮LED补光灯，光敏控制，功率20W，上、下、左、右可调。</w:t>
            </w:r>
          </w:p>
          <w:p w14:paraId="4B87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11、车牌识别一体式外壳要求一体式模具成型（非外壳模组组装机），同时高清摄像机内嵌式安装，有效杜绝人为性掰动摄像机；</w:t>
            </w:r>
          </w:p>
          <w:p w14:paraId="59ADA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12、需将设备安装到校方指定地点，并同现有车辆管理系统无缝对接，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  <w:highlight w:val="none"/>
              </w:rPr>
              <w:t>产生的费用均包含在投标费用中，由投标人承担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2D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3E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27FD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6A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6E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车库入口信息发布牌</w:t>
            </w:r>
          </w:p>
        </w:tc>
        <w:tc>
          <w:tcPr>
            <w:tcW w:w="6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8E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  <w:t>1、支持</w:t>
            </w:r>
            <w:r>
              <w:rPr>
                <w:rFonts w:hint="eastAsia" w:ascii="宋体" w:hAnsi="宋体" w:cs="宋体"/>
                <w:spacing w:val="0"/>
                <w:position w:val="0"/>
                <w:sz w:val="22"/>
                <w:szCs w:val="22"/>
                <w:lang w:val="en-US" w:eastAsia="zh-CN"/>
              </w:rPr>
              <w:t>户外立柱一体式安装，设备高度不低于150cm，具备实时显示剩余车位信息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  <w:t>；</w:t>
            </w:r>
          </w:p>
          <w:p w14:paraId="20588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  <w:t>2、显示屏分辨率</w:t>
            </w:r>
            <w:r>
              <w:rPr>
                <w:rFonts w:hint="eastAsia" w:ascii="宋体" w:hAnsi="宋体" w:cs="宋体"/>
                <w:spacing w:val="0"/>
                <w:position w:val="0"/>
                <w:sz w:val="22"/>
                <w:szCs w:val="22"/>
                <w:lang w:val="en-US" w:eastAsia="zh-CN"/>
              </w:rPr>
              <w:t>具备不低于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  <w:t>2048Dots（64×32，1行2字），点间距</w:t>
            </w:r>
            <w:r>
              <w:rPr>
                <w:rFonts w:hint="eastAsia" w:ascii="宋体" w:hAnsi="宋体" w:cs="宋体"/>
                <w:spacing w:val="0"/>
                <w:position w:val="0"/>
                <w:sz w:val="22"/>
                <w:szCs w:val="22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  <w:t>7.6mm</w:t>
            </w:r>
            <w:r>
              <w:rPr>
                <w:rFonts w:hint="eastAsia" w:ascii="宋体" w:hAnsi="宋体" w:cs="宋体"/>
                <w:spacing w:val="0"/>
                <w:positio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spacing w:val="0"/>
                <w:position w:val="0"/>
                <w:sz w:val="22"/>
                <w:szCs w:val="22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  <w:t>高亮度、宽视觉、可靠性高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（投标人需提供所投产品第三方检测机构出具的具备CMA或CNAS标识的检测报告复印件）；</w:t>
            </w:r>
          </w:p>
          <w:p w14:paraId="14F22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  <w:t>3、</w:t>
            </w:r>
            <w:r>
              <w:rPr>
                <w:rFonts w:hint="eastAsia" w:ascii="宋体" w:hAnsi="宋体" w:cs="宋体"/>
                <w:spacing w:val="0"/>
                <w:position w:val="0"/>
                <w:sz w:val="22"/>
                <w:szCs w:val="22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  <w:t>内容自定义显示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；</w:t>
            </w:r>
          </w:p>
          <w:p w14:paraId="2C3ED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  <w:t>4、</w:t>
            </w:r>
            <w:r>
              <w:rPr>
                <w:rFonts w:hint="eastAsia" w:ascii="宋体" w:hAnsi="宋体" w:cs="宋体"/>
                <w:spacing w:val="0"/>
                <w:position w:val="0"/>
                <w:sz w:val="22"/>
                <w:szCs w:val="22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  <w:t>TCP/IP网络通讯，可实时发布停车场区域车位数</w:t>
            </w:r>
            <w:r>
              <w:rPr>
                <w:rFonts w:hint="eastAsia" w:ascii="宋体" w:hAnsi="宋体" w:cs="宋体"/>
                <w:spacing w:val="0"/>
                <w:position w:val="0"/>
                <w:sz w:val="22"/>
                <w:szCs w:val="22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  <w:t>；</w:t>
            </w:r>
          </w:p>
          <w:p w14:paraId="224D7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  <w:t>5、</w:t>
            </w:r>
            <w:r>
              <w:rPr>
                <w:rFonts w:hint="eastAsia" w:ascii="宋体" w:hAnsi="宋体" w:cs="宋体"/>
                <w:spacing w:val="0"/>
                <w:position w:val="0"/>
                <w:sz w:val="22"/>
                <w:szCs w:val="22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  <w:t>红、绿、黄三色显示；支持中文、英文、数字、箭头</w:t>
            </w:r>
            <w:r>
              <w:rPr>
                <w:rFonts w:hint="eastAsia" w:ascii="宋体" w:hAnsi="宋体" w:cs="宋体"/>
                <w:spacing w:val="0"/>
                <w:position w:val="0"/>
                <w:sz w:val="22"/>
                <w:szCs w:val="22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  <w:t>显示；</w:t>
            </w:r>
          </w:p>
          <w:p w14:paraId="2DBED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spacing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  <w:t>、</w:t>
            </w:r>
            <w:r>
              <w:rPr>
                <w:rFonts w:hint="eastAsia" w:ascii="宋体" w:hAnsi="宋体" w:cs="宋体"/>
                <w:spacing w:val="0"/>
                <w:position w:val="0"/>
                <w:sz w:val="22"/>
                <w:szCs w:val="22"/>
                <w:lang w:val="en-US" w:eastAsia="zh-CN"/>
              </w:rPr>
              <w:t>具备国标接口，可接入校园车位管理系统，实现无缝对接；</w:t>
            </w:r>
          </w:p>
          <w:p w14:paraId="41A1D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宋体" w:hAnsi="宋体" w:cs="宋体"/>
                <w:spacing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、需将设备安装到校方指定地点，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  <w:highlight w:val="none"/>
              </w:rPr>
              <w:t>产生的费用均包含在投标费用中，由投标人承担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68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C7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</w:tr>
      <w:tr w14:paraId="1D55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5F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57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道路标识标牌</w:t>
            </w:r>
          </w:p>
        </w:tc>
        <w:tc>
          <w:tcPr>
            <w:tcW w:w="6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4E1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  <w:lang w:val="en-US" w:eastAsia="zh-CN"/>
              </w:rPr>
              <w:t>材质：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  <w:t>标志板所用铝合金板其最小厚度应不小于2mm</w:t>
            </w:r>
            <w:r>
              <w:rPr>
                <w:rFonts w:hint="eastAsia" w:ascii="宋体" w:hAnsi="宋体" w:cs="宋体"/>
                <w:spacing w:val="0"/>
                <w:positio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spacing w:val="0"/>
                <w:position w:val="0"/>
                <w:sz w:val="22"/>
                <w:szCs w:val="22"/>
                <w:lang w:val="en-US" w:eastAsia="zh-CN"/>
              </w:rPr>
              <w:t>材质为高强度铝板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  <w:lang w:eastAsia="zh-CN"/>
              </w:rPr>
              <w:t>；</w:t>
            </w:r>
          </w:p>
          <w:p w14:paraId="080233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  <w:lang w:val="en-US" w:eastAsia="zh-CN"/>
              </w:rPr>
              <w:t>标志板面应无裂缝或其他表面缺陷，标志板边缘应整齐、光滑，标志板的外形尺寸偏差不大于5mm，若=外形尺寸大于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  <w:t>1.2m2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  <w:lang w:val="en-US" w:eastAsia="zh-CN"/>
              </w:rPr>
              <w:t>时，外形偏差尺寸需在±0.5%之内。标志板应平整，表面无明显皱纹、凹痕或变形，每平方米范围内的平整度公差不应大于1.0mm；</w:t>
            </w:r>
          </w:p>
          <w:p w14:paraId="51BEAB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  <w:lang w:val="en-US" w:eastAsia="zh-CN"/>
              </w:rPr>
              <w:t>夜间在车灯照射下，标志板底色和字符应清晰明亮，颜色均匀，不应出现明暗不均的现象，不能影响标志的认读；</w:t>
            </w:r>
          </w:p>
          <w:p w14:paraId="02DAE1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  <w:lang w:val="en-US" w:eastAsia="zh-CN"/>
              </w:rPr>
              <w:t>产品具备满足特定元素迁移检测标准，其中，可溶出锑Sb、可溶出铬Cr、可溶出汞Hg的含量不超过60mg/kg，可溶出铅Pb、可溶出镉Cd的含量不超过90mg/kg，可溶出砷As不超过25mg/kg，可溶出钡Ba不超过1000mg/kg，可溶出硒Se不超过500mg/kg（投标人需提供所投产品第三方检测机构出具的具备CMA或CNAS标识的检测报告复印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）；</w:t>
            </w:r>
          </w:p>
          <w:p w14:paraId="12B494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0"/>
                <w:position w:val="0"/>
                <w:sz w:val="22"/>
                <w:szCs w:val="22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  <w:lang w:val="en-US" w:eastAsia="zh-CN"/>
              </w:rPr>
              <w:t>标牌应于现有相同标牌尺寸一致</w:t>
            </w:r>
            <w:r>
              <w:rPr>
                <w:rFonts w:hint="eastAsia" w:ascii="宋体" w:hAnsi="宋体" w:cs="宋体"/>
                <w:spacing w:val="0"/>
                <w:position w:val="0"/>
                <w:sz w:val="22"/>
                <w:szCs w:val="22"/>
                <w:lang w:val="en-US" w:eastAsia="zh-CN"/>
              </w:rPr>
              <w:t>，并支持定制化制作，满足不同校园环境下的使用要求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07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D6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</w:tr>
      <w:tr w14:paraId="61E2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57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55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道路标识牌立柱</w:t>
            </w:r>
          </w:p>
        </w:tc>
        <w:tc>
          <w:tcPr>
            <w:tcW w:w="6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3DF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宋体" w:hAnsi="宋体" w:eastAsia="宋体" w:cs="宋体"/>
                <w:spacing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  <w:lang w:val="en-US" w:eastAsia="zh-CN"/>
              </w:rPr>
              <w:t>1、材质：圆柱形镀锌钢材，具备防晒、防雨、耐寒和耐腐蚀的特性；</w:t>
            </w:r>
          </w:p>
          <w:p w14:paraId="791817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  <w:lang w:val="en-US" w:eastAsia="zh-CN"/>
              </w:rPr>
              <w:t>2、尺寸：不小于60*60*2500mm；</w:t>
            </w:r>
          </w:p>
          <w:p w14:paraId="6A21AC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  <w:lang w:val="en-US" w:eastAsia="zh-CN"/>
              </w:rPr>
              <w:t>3、柱体具备加强筋，可以承受多个角度的外力冲击；</w:t>
            </w:r>
          </w:p>
          <w:p w14:paraId="629E45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宋体" w:hAnsi="宋体" w:eastAsia="宋体" w:cs="宋体"/>
                <w:spacing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、需将设备安装到校方指定地点，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  <w:highlight w:val="none"/>
              </w:rPr>
              <w:t>产生的费用均包含在投标费用中，由投标人承担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ED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9D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32EF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A3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62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转角镜（凸面镜）</w:t>
            </w:r>
          </w:p>
        </w:tc>
        <w:tc>
          <w:tcPr>
            <w:tcW w:w="6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A7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  <w:t>室外转角镜最大镜面角度不小于230°；</w:t>
            </w:r>
          </w:p>
          <w:p w14:paraId="059F1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  <w:t>镜面材质为PC材质，镜背材质为ABS材质；</w:t>
            </w:r>
          </w:p>
          <w:p w14:paraId="0C48F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  <w:t>镜面整体尺寸不小于750mm*750mm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  <w:t>；</w:t>
            </w:r>
          </w:p>
          <w:p w14:paraId="0BC01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、需将设备安装到校方指定地点，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  <w:highlight w:val="none"/>
              </w:rPr>
              <w:t>产生的费用均包含在投标费用中，由投标人承担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51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B8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2E7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70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F5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减速带</w:t>
            </w:r>
          </w:p>
        </w:tc>
        <w:tc>
          <w:tcPr>
            <w:tcW w:w="6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D201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  <w:t>铸钢减速带，采用螺栓固定，可承重40吨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  <w:lang w:eastAsia="zh-CN"/>
              </w:rPr>
              <w:t>；</w:t>
            </w:r>
          </w:p>
          <w:p w14:paraId="5CBA435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  <w:t>尺寸为：1000*350*50mm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  <w:t>；</w:t>
            </w:r>
          </w:p>
          <w:p w14:paraId="1717D5C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  <w:t>减速带采用黄黑色搭配，设计主题醒目；</w:t>
            </w:r>
          </w:p>
          <w:p w14:paraId="37328B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0"/>
                <w:position w:val="0"/>
                <w:sz w:val="22"/>
                <w:szCs w:val="22"/>
                <w:lang w:val="en-US" w:eastAsia="zh-CN"/>
              </w:rPr>
              <w:t>产品具备满足特定元素迁移检测标准，其中，可溶出锑Sb、可溶出铬Cr、可溶出汞Hg的含量不超过60mg/kg，可溶出铅Pb、可溶出镉Cd的含量不超过90mg/kg，可溶出砷As不超过25mg/kg，可溶出钡Ba不超过1000mg/kg，可溶出硒Se不超过500mg/kg（投标人需提供所投产品第三方检测机构出具的具备CMA或CNAS标识的检测报告复印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）；</w:t>
            </w:r>
          </w:p>
          <w:p w14:paraId="2909CB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、需将设备安装到校方指定地点，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  <w:highlight w:val="none"/>
              </w:rPr>
              <w:t>产生的费用均包含在投标费用中，由投标人承担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14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B8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position w:val="0"/>
                <w:sz w:val="22"/>
                <w:szCs w:val="22"/>
                <w:lang w:val="en-US" w:eastAsia="zh-CN"/>
              </w:rPr>
              <w:t>米</w:t>
            </w:r>
          </w:p>
        </w:tc>
      </w:tr>
    </w:tbl>
    <w:p w14:paraId="68F437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509CD"/>
    <w:multiLevelType w:val="singleLevel"/>
    <w:tmpl w:val="931509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YTBkOGVlYWQxMGUxZDM5YTI1MjZlNGFlYjVlYTkifQ=="/>
  </w:docVars>
  <w:rsids>
    <w:rsidRoot w:val="00000000"/>
    <w:rsid w:val="0B876D8A"/>
    <w:rsid w:val="15644F8A"/>
    <w:rsid w:val="1EE54CE0"/>
    <w:rsid w:val="240B1533"/>
    <w:rsid w:val="2939535D"/>
    <w:rsid w:val="41CB136F"/>
    <w:rsid w:val="44492493"/>
    <w:rsid w:val="52DE7E36"/>
    <w:rsid w:val="58D37D92"/>
    <w:rsid w:val="7B402D61"/>
    <w:rsid w:val="7E7B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toc 2"/>
    <w:basedOn w:val="1"/>
    <w:next w:val="1"/>
    <w:qFormat/>
    <w:uiPriority w:val="39"/>
    <w:pPr>
      <w:ind w:left="210"/>
      <w:jc w:val="left"/>
    </w:pPr>
    <w:rPr>
      <w:smallCaps/>
      <w:sz w:val="20"/>
    </w:rPr>
  </w:style>
  <w:style w:type="paragraph" w:styleId="4">
    <w:name w:val="toc 1"/>
    <w:basedOn w:val="1"/>
    <w:next w:val="1"/>
    <w:autoRedefine/>
    <w:qFormat/>
    <w:uiPriority w:val="39"/>
    <w:pPr>
      <w:autoSpaceDE w:val="0"/>
      <w:autoSpaceDN w:val="0"/>
      <w:spacing w:before="146"/>
      <w:ind w:left="455"/>
      <w:jc w:val="left"/>
    </w:pPr>
    <w:rPr>
      <w:rFonts w:ascii="宋体" w:hAnsi="宋体" w:cs="宋体"/>
      <w:b/>
      <w:bCs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2131</Words>
  <Characters>2533</Characters>
  <Lines>0</Lines>
  <Paragraphs>0</Paragraphs>
  <TotalTime>3</TotalTime>
  <ScaleCrop>false</ScaleCrop>
  <LinksUpToDate>false</LinksUpToDate>
  <CharactersWithSpaces>2540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2024-05-20T07:12:00Z</dcterms:created>
  <dc:creator>Administrator</dc:creator>
  <cp:lastModifiedBy>小白杨</cp:lastModifiedBy>
  <dcterms:modified xsi:type="dcterms:W3CDTF">2024-08-13T03:34:00Z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FFA245E7CD524D48B9CFB0308C743E11_13</vt:lpwstr>
  </property>
</Properties>
</file>